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modèle-de-procès-verbal-de-cse"/>
    <w:p>
      <w:pPr>
        <w:pStyle w:val="Heading1"/>
      </w:pPr>
      <w:r>
        <w:t xml:space="preserve">Modèle de procès-verbal de CSE</w:t>
      </w:r>
    </w:p>
    <w:bookmarkStart w:id="9" w:name="Xb1844d2eea8ebdb8020ba9679f866d03b3ddb2f"/>
    <w:p>
      <w:pPr>
        <w:pStyle w:val="Heading2"/>
      </w:pPr>
      <w:r>
        <w:t xml:space="preserve">La trame que nous appliquons et les repères pour la remplir</w:t>
      </w:r>
    </w:p>
    <w:p>
      <w:pPr>
        <w:pStyle w:val="FirstParagraph"/>
      </w:pPr>
      <w:r>
        <w:t xml:space="preserve">Ce document contient deux choses. D’abord la trame d’un procès-verbal de comité social</w:t>
      </w:r>
      <w:r>
        <w:t xml:space="preserve"> </w:t>
      </w:r>
      <w:r>
        <w:t xml:space="preserve">et économique, prête à compléter : les champs entre crochets se remplacent, le reste se</w:t>
      </w:r>
      <w:r>
        <w:t xml:space="preserve"> </w:t>
      </w:r>
      <w:r>
        <w:t xml:space="preserve">conserve. Ensuite les repères de rédaction que nous appliquons au corps du débat, la</w:t>
      </w:r>
      <w:r>
        <w:t xml:space="preserve"> </w:t>
      </w:r>
      <w:r>
        <w:t xml:space="preserve">seule partie qu’aucune trame ne remplit.</w:t>
      </w:r>
    </w:p>
    <w:p>
      <w:pPr>
        <w:pStyle w:val="BodyText"/>
      </w:pPr>
      <w:r>
        <w:t xml:space="preserve">L’en-tête, les présents, l’ordre du jour, l’ouverture et la clôture se recopient plus</w:t>
      </w:r>
      <w:r>
        <w:t xml:space="preserve"> </w:t>
      </w:r>
      <w:r>
        <w:t xml:space="preserve">qu’ils ne se rédigent. Le corps du débat représente la quasi-totalité du document, et</w:t>
      </w:r>
      <w:r>
        <w:t xml:space="preserve"> </w:t>
      </w:r>
      <w:r>
        <w:t xml:space="preserve">c’est là que deux procès-verbaux de la même séance cessent de se ressembler.</w:t>
      </w:r>
    </w:p>
    <w:p>
      <w:pPr>
        <w:pStyle w:val="BodyText"/>
      </w:pPr>
      <w:r>
        <w:t xml:space="preserve">Cette trame décrit notre méthode de rédaction. Elle ne remplace ni le règlement</w:t>
      </w:r>
      <w:r>
        <w:t xml:space="preserve"> </w:t>
      </w:r>
      <w:r>
        <w:t xml:space="preserve">intérieur du comité ni l’avis de son conseil.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7" w:name="projet-de-procès-verbal"/>
    <w:p>
      <w:pPr>
        <w:pStyle w:val="Heading1"/>
      </w:pPr>
      <w:r>
        <w:t xml:space="preserve">PROJET DE PROCÈS-VERBAL</w:t>
      </w:r>
    </w:p>
    <w:p>
      <w:pPr>
        <w:pStyle w:val="FirstParagraph"/>
      </w:pPr>
      <w:r>
        <w:rPr>
          <w:b/>
          <w:bCs/>
        </w:rPr>
        <w:t xml:space="preserve">Réunion ordinaire n° [numéro] du [date]</w:t>
      </w:r>
      <w:r>
        <w:br/>
      </w:r>
      <w:r>
        <w:t xml:space="preserve">Comité social et économique de [entreprise ou établissement]</w:t>
      </w:r>
      <w:r>
        <w:br/>
      </w:r>
      <w:r>
        <w:t xml:space="preserve">[Raison sociale, activité]</w:t>
      </w:r>
    </w:p>
    <w:bookmarkStart w:id="11" w:name="participants"/>
    <w:p>
      <w:pPr>
        <w:pStyle w:val="Heading2"/>
      </w:pPr>
      <w:r>
        <w:t xml:space="preserve">PARTICIPANTS</w:t>
      </w:r>
    </w:p>
    <w:p>
      <w:pPr>
        <w:pStyle w:val="FirstParagraph"/>
      </w:pPr>
      <w:r>
        <w:rPr>
          <w:b/>
          <w:bCs/>
        </w:rPr>
        <w:t xml:space="preserve">Direction</w:t>
      </w:r>
    </w:p>
    <w:p>
      <w:pPr>
        <w:pStyle w:val="Compact"/>
        <w:numPr>
          <w:ilvl w:val="0"/>
          <w:numId w:val="1001"/>
        </w:numPr>
      </w:pPr>
      <w:r>
        <w:t xml:space="preserve">[Prénom NOM], [fonction], président du CSE</w:t>
      </w:r>
    </w:p>
    <w:p>
      <w:pPr>
        <w:pStyle w:val="Compact"/>
        <w:numPr>
          <w:ilvl w:val="0"/>
          <w:numId w:val="1001"/>
        </w:numPr>
      </w:pPr>
      <w:r>
        <w:t xml:space="preserve">[Prénom NOM], [fonction]</w:t>
      </w:r>
    </w:p>
    <w:p>
      <w:pPr>
        <w:pStyle w:val="FirstParagraph"/>
      </w:pPr>
      <w:r>
        <w:rPr>
          <w:b/>
          <w:bCs/>
        </w:rPr>
        <w:t xml:space="preserve">Élus titulaires</w:t>
      </w:r>
    </w:p>
    <w:p>
      <w:pPr>
        <w:pStyle w:val="Compact"/>
        <w:numPr>
          <w:ilvl w:val="0"/>
          <w:numId w:val="1002"/>
        </w:numPr>
      </w:pPr>
      <w:r>
        <w:t xml:space="preserve">[Prénom NOM], secrétaire du CSE ([organisation])</w:t>
      </w:r>
    </w:p>
    <w:p>
      <w:pPr>
        <w:pStyle w:val="Compact"/>
        <w:numPr>
          <w:ilvl w:val="0"/>
          <w:numId w:val="1002"/>
        </w:numPr>
      </w:pPr>
      <w:r>
        <w:t xml:space="preserve">[Prénom NOM], secrétaire adjoint ([organisation])</w:t>
      </w:r>
    </w:p>
    <w:p>
      <w:pPr>
        <w:pStyle w:val="Compact"/>
        <w:numPr>
          <w:ilvl w:val="0"/>
          <w:numId w:val="1002"/>
        </w:numPr>
      </w:pPr>
      <w:r>
        <w:t xml:space="preserve">[Prénom NOM] ([organisation])</w:t>
      </w:r>
    </w:p>
    <w:p>
      <w:pPr>
        <w:pStyle w:val="FirstParagraph"/>
      </w:pPr>
      <w:r>
        <w:rPr>
          <w:b/>
          <w:bCs/>
        </w:rPr>
        <w:t xml:space="preserve">Élus suppléants présents</w:t>
      </w:r>
    </w:p>
    <w:p>
      <w:pPr>
        <w:pStyle w:val="Compact"/>
        <w:numPr>
          <w:ilvl w:val="0"/>
          <w:numId w:val="1003"/>
        </w:numPr>
      </w:pPr>
      <w:r>
        <w:t xml:space="preserve">[Prénom NOM] ([organisation]), en remplacement de [Prénom NOM]</w:t>
      </w:r>
    </w:p>
    <w:p>
      <w:pPr>
        <w:pStyle w:val="FirstParagraph"/>
      </w:pPr>
      <w:r>
        <w:rPr>
          <w:b/>
          <w:bCs/>
        </w:rPr>
        <w:t xml:space="preserve">Représentants syndicaux</w:t>
      </w:r>
    </w:p>
    <w:p>
      <w:pPr>
        <w:pStyle w:val="Compact"/>
        <w:numPr>
          <w:ilvl w:val="0"/>
          <w:numId w:val="1004"/>
        </w:numPr>
      </w:pPr>
      <w:r>
        <w:t xml:space="preserve">[Prénom NOM], représentant syndical [organisation]</w:t>
      </w:r>
    </w:p>
    <w:p>
      <w:pPr>
        <w:pStyle w:val="FirstParagraph"/>
      </w:pPr>
      <w:r>
        <w:rPr>
          <w:b/>
          <w:bCs/>
        </w:rPr>
        <w:t xml:space="preserve">Invités</w:t>
      </w:r>
    </w:p>
    <w:p>
      <w:pPr>
        <w:pStyle w:val="Compact"/>
        <w:numPr>
          <w:ilvl w:val="0"/>
          <w:numId w:val="1005"/>
        </w:numPr>
      </w:pPr>
      <w:r>
        <w:t xml:space="preserve">[Prénom NOM], [fonction], présent au point n° [numéro]</w:t>
      </w:r>
    </w:p>
    <w:p>
      <w:pPr>
        <w:pStyle w:val="FirstParagraph"/>
      </w:pPr>
      <w:r>
        <w:rPr>
          <w:b/>
          <w:bCs/>
        </w:rPr>
        <w:t xml:space="preserve">Étaient absents</w:t>
      </w:r>
    </w:p>
    <w:p>
      <w:pPr>
        <w:pStyle w:val="Compact"/>
        <w:numPr>
          <w:ilvl w:val="0"/>
          <w:numId w:val="1006"/>
        </w:numPr>
      </w:pPr>
      <w:r>
        <w:t xml:space="preserve">[Prénom NOM], titulaire ([organisation]), excusé</w:t>
      </w:r>
    </w:p>
    <w:p>
      <w:pPr>
        <w:pStyle w:val="Compact"/>
        <w:numPr>
          <w:ilvl w:val="0"/>
          <w:numId w:val="1006"/>
        </w:numPr>
      </w:pPr>
      <w:r>
        <w:t xml:space="preserve">[Prénom NOM], suppléant ([organisation])</w:t>
      </w:r>
    </w:p>
    <w:bookmarkEnd w:id="11"/>
    <w:bookmarkStart w:id="12" w:name="ordre-du-jour"/>
    <w:p>
      <w:pPr>
        <w:pStyle w:val="Heading2"/>
      </w:pPr>
      <w:r>
        <w:t xml:space="preserve">ORDRE DU JOUR</w:t>
      </w:r>
    </w:p>
    <w:p>
      <w:pPr>
        <w:pStyle w:val="Compact"/>
        <w:numPr>
          <w:ilvl w:val="0"/>
          <w:numId w:val="1007"/>
        </w:numPr>
      </w:pPr>
      <w:r>
        <w:t xml:space="preserve">[Intitulé du point]</w:t>
      </w:r>
    </w:p>
    <w:p>
      <w:pPr>
        <w:pStyle w:val="Compact"/>
        <w:numPr>
          <w:ilvl w:val="0"/>
          <w:numId w:val="1007"/>
        </w:numPr>
      </w:pPr>
      <w:r>
        <w:t xml:space="preserve">[Intitulé du point]</w:t>
      </w:r>
    </w:p>
    <w:p>
      <w:pPr>
        <w:pStyle w:val="Compact"/>
        <w:numPr>
          <w:ilvl w:val="0"/>
          <w:numId w:val="1007"/>
        </w:numPr>
      </w:pPr>
      <w:r>
        <w:t xml:space="preserve">[Intitulé du point]</w:t>
      </w:r>
    </w:p>
    <w:p>
      <w:pPr>
        <w:pStyle w:val="Compact"/>
        <w:numPr>
          <w:ilvl w:val="0"/>
          <w:numId w:val="1007"/>
        </w:numPr>
      </w:pPr>
      <w:r>
        <w:t xml:space="preserve">Questions diverses</w:t>
      </w:r>
    </w:p>
    <w:p>
      <w:pPr>
        <w:pStyle w:val="FirstParagraph"/>
      </w:pPr>
      <w:r>
        <w:t xml:space="preserve">La séance est ouverte à [heure] sous la présidence de [Prénom NOM].</w:t>
      </w:r>
    </w:p>
    <w:p>
      <w:pPr>
        <w:pStyle w:val="BodyText"/>
      </w:pPr>
      <w:r>
        <w:t xml:space="preserve">[Le cas échéant : les points ont été examinés dans l’ordre suivant : …]</w:t>
      </w:r>
    </w:p>
    <w:p>
      <w:r>
        <w:pict>
          <v:rect style="width:0;height:1.5pt" o:hralign="center" o:hrstd="t" o:hr="t"/>
        </w:pict>
      </w:r>
    </w:p>
    <w:bookmarkEnd w:id="12"/>
    <w:bookmarkStart w:id="13" w:name="déclaration-préalable"/>
    <w:p>
      <w:pPr>
        <w:pStyle w:val="Heading2"/>
      </w:pPr>
      <w:r>
        <w:t xml:space="preserve">DÉCLARATION PRÉALABLE</w:t>
      </w:r>
    </w:p>
    <w:p>
      <w:pPr>
        <w:pStyle w:val="FirstParagraph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procède à la lecture de la déclaration préalable de [organisation] :</w:t>
      </w:r>
    </w:p>
    <w:p>
      <w:pPr>
        <w:pStyle w:val="BodyText"/>
      </w:pPr>
      <w:r>
        <w:t xml:space="preserve">« [Texte de la déclaration, reproduit intégralement d’après le document remis par son</w:t>
      </w:r>
      <w:r>
        <w:t xml:space="preserve"> </w:t>
      </w:r>
      <w:r>
        <w:t xml:space="preserve">auteur.] »</w:t>
      </w:r>
    </w:p>
    <w:p>
      <w:pPr>
        <w:pStyle w:val="BodyText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prend acte de la déclaration et indique qu’elle sera annexée au</w:t>
      </w:r>
      <w:r>
        <w:t xml:space="preserve"> </w:t>
      </w:r>
      <w:r>
        <w:t xml:space="preserve">procès-verbal.</w:t>
      </w:r>
    </w:p>
    <w:p>
      <w:r>
        <w:pict>
          <v:rect style="width:0;height:1.5pt" o:hralign="center" o:hrstd="t" o:hr="t"/>
        </w:pict>
      </w:r>
    </w:p>
    <w:bookmarkEnd w:id="13"/>
    <w:bookmarkStart w:id="14" w:name="intitulé-du-point-de-lordre-du-jour"/>
    <w:p>
      <w:pPr>
        <w:pStyle w:val="Heading2"/>
      </w:pPr>
      <w:r>
        <w:t xml:space="preserve">1. [INTITULÉ DU POINT DE L’ORDRE DU JOUR]</w:t>
      </w:r>
    </w:p>
    <w:p>
      <w:pPr>
        <w:pStyle w:val="FirstParagraph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[verbe] [contenu de l’intervention, au style indirect, au présent].</w:t>
      </w:r>
    </w:p>
    <w:p>
      <w:pPr>
        <w:pStyle w:val="BodyText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[verbe] [contenu de l’intervention].</w:t>
      </w:r>
    </w:p>
    <w:p>
      <w:pPr>
        <w:pStyle w:val="BodyText"/>
      </w:pPr>
      <w:r>
        <w:t xml:space="preserve">VOTANTS : [n]</w:t>
      </w:r>
      <w:r>
        <w:br/>
      </w:r>
      <w:r>
        <w:t xml:space="preserve">POUR : [n]</w:t>
      </w:r>
      <w:r>
        <w:br/>
      </w:r>
      <w:r>
        <w:t xml:space="preserve">CONTRE : [n]</w:t>
      </w:r>
      <w:r>
        <w:br/>
      </w:r>
      <w:r>
        <w:t xml:space="preserve">ABSTENTIONS : [n]</w:t>
      </w:r>
      <w:r>
        <w:br/>
      </w:r>
      <w:r>
        <w:t xml:space="preserve">NON EXPRIMÉS : [n]</w:t>
      </w:r>
    </w:p>
    <w:p>
      <w:pPr>
        <w:pStyle w:val="BodyText"/>
      </w:pPr>
      <w:r>
        <w:t xml:space="preserve">[Phrase rédigée qui énonce le résultat : « Le procès-verbal de la réunion du [date] est</w:t>
      </w:r>
      <w:r>
        <w:t xml:space="preserve"> </w:t>
      </w:r>
      <w:r>
        <w:t xml:space="preserve">approuvé à la majorité des membres présents. »]</w:t>
      </w:r>
    </w:p>
    <w:p>
      <w:r>
        <w:pict>
          <v:rect style="width:0;height:1.5pt" o:hralign="center" o:hrstd="t" o:hr="t"/>
        </w:pict>
      </w:r>
    </w:p>
    <w:bookmarkEnd w:id="14"/>
    <w:bookmarkStart w:id="15" w:name="intitulé-du-point-de-lordre-du-jour-1"/>
    <w:p>
      <w:pPr>
        <w:pStyle w:val="Heading2"/>
      </w:pPr>
      <w:r>
        <w:t xml:space="preserve">2. [INTITULÉ DU POINT DE L’ORDRE DU JOUR]</w:t>
      </w:r>
    </w:p>
    <w:p>
      <w:pPr>
        <w:pStyle w:val="FirstParagraph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[verbe] [contenu de l’intervention].</w:t>
      </w:r>
    </w:p>
    <w:p>
      <w:pPr>
        <w:pStyle w:val="BodyText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[verbe] [contenu de l’intervention].</w:t>
      </w:r>
    </w:p>
    <w:p>
      <w:pPr>
        <w:pStyle w:val="BodyText"/>
      </w:pPr>
      <w:r>
        <w:rPr>
          <w:i/>
          <w:iCs/>
        </w:rPr>
        <w:t xml:space="preserve">[Le cas échéant : l’avis du comité sera recueilli lors de la réunion du [date].]</w:t>
      </w:r>
    </w:p>
    <w:p>
      <w:r>
        <w:pict>
          <v:rect style="width:0;height:1.5pt" o:hralign="center" o:hrstd="t" o:hr="t"/>
        </w:pict>
      </w:r>
    </w:p>
    <w:bookmarkEnd w:id="15"/>
    <w:bookmarkStart w:id="16" w:name="questions-diverses"/>
    <w:p>
      <w:pPr>
        <w:pStyle w:val="Heading2"/>
      </w:pPr>
      <w:r>
        <w:t xml:space="preserve">3. QUESTIONS DIVERSES</w:t>
      </w:r>
    </w:p>
    <w:p>
      <w:pPr>
        <w:pStyle w:val="FirstParagraph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[verbe] [contenu de la question].</w:t>
      </w:r>
    </w:p>
    <w:p>
      <w:pPr>
        <w:pStyle w:val="BodyText"/>
      </w:pPr>
      <w:r>
        <w:rPr>
          <w:b/>
          <w:bCs/>
        </w:rPr>
        <w:t xml:space="preserve">[Prénom NOM]</w:t>
      </w:r>
      <w:r>
        <w:t xml:space="preserve"> </w:t>
      </w:r>
      <w:r>
        <w:t xml:space="preserve">[verbe] [contenu de la réponse].</w:t>
      </w:r>
    </w:p>
    <w:p>
      <w:pPr>
        <w:pStyle w:val="BodyText"/>
      </w:pPr>
      <w:r>
        <w:t xml:space="preserve">La séance est levée à [heure].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 président,</w:t>
            </w:r>
          </w:p>
        </w:tc>
        <w:tc>
          <w:tcPr/>
          <w:p>
            <w:pPr>
              <w:pStyle w:val="Compact"/>
            </w:pPr>
            <w:r>
              <w:t xml:space="preserve">Le secrétaire,</w:t>
            </w:r>
          </w:p>
        </w:tc>
      </w:tr>
      <w:tr>
        <w:tc>
          <w:tcPr/>
          <w:p>
            <w:pPr>
              <w:pStyle w:val="Compact"/>
            </w:pPr>
            <w:r>
              <w:t xml:space="preserve">[Prénom NOM]</w:t>
            </w:r>
          </w:p>
        </w:tc>
        <w:tc>
          <w:tcPr/>
          <w:p>
            <w:pPr>
              <w:pStyle w:val="Compact"/>
            </w:pPr>
            <w:r>
              <w:t xml:space="preserve">[Prénom NOM]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6"/>
    <w:bookmarkEnd w:id="17"/>
    <w:bookmarkStart w:id="25" w:name="X8adf275a072ef3539847244eedcde0e56d2c529"/>
    <w:p>
      <w:pPr>
        <w:pStyle w:val="Heading1"/>
      </w:pPr>
      <w:r>
        <w:t xml:space="preserve">Les repères pour remplir le corps du débat</w:t>
      </w:r>
    </w:p>
    <w:bookmarkStart w:id="18" w:name="un-paragraphe-par-prise-de-parole"/>
    <w:p>
      <w:pPr>
        <w:pStyle w:val="Heading2"/>
      </w:pPr>
      <w:r>
        <w:t xml:space="preserve">Un paragraphe par prise de parole</w:t>
      </w:r>
    </w:p>
    <w:p>
      <w:pPr>
        <w:pStyle w:val="FirstParagraph"/>
      </w:pPr>
      <w:r>
        <w:t xml:space="preserve">Le nom de l’orateur ouvre le paragraphe, en gras. Retour à la ligne entre deux</w:t>
      </w:r>
      <w:r>
        <w:t xml:space="preserve"> </w:t>
      </w:r>
      <w:r>
        <w:t xml:space="preserve">interventions. Quand une même personne parle sur plusieurs séquences consécutives, ces</w:t>
      </w:r>
      <w:r>
        <w:t xml:space="preserve"> </w:t>
      </w:r>
      <w:r>
        <w:t xml:space="preserve">séquences se réunissent en un seul paragraphe. La transcription automatique les découpe</w:t>
      </w:r>
      <w:r>
        <w:t xml:space="preserve"> </w:t>
      </w:r>
      <w:r>
        <w:t xml:space="preserve">souvent en blocs distincts, parfois attribués à des locuteurs différents ; le document</w:t>
      </w:r>
      <w:r>
        <w:t xml:space="preserve"> </w:t>
      </w:r>
      <w:r>
        <w:t xml:space="preserve">restitue une intervention.</w:t>
      </w:r>
    </w:p>
    <w:p>
      <w:pPr>
        <w:pStyle w:val="BodyText"/>
      </w:pPr>
      <w:r>
        <w:t xml:space="preserve">À l’intérieur d’un point, pas de sous-titres. Le texte est une suite d’interventions, et</w:t>
      </w:r>
      <w:r>
        <w:t xml:space="preserve"> </w:t>
      </w:r>
      <w:r>
        <w:t xml:space="preserve">les seuls titres du document sont les points de l’ordre du jour.</w:t>
      </w:r>
    </w:p>
    <w:bookmarkEnd w:id="18"/>
    <w:bookmarkStart w:id="19" w:name="le-style-indirect-au-présent"/>
    <w:p>
      <w:pPr>
        <w:pStyle w:val="Heading2"/>
      </w:pPr>
      <w:r>
        <w:t xml:space="preserve">Le style indirect, au présent</w:t>
      </w:r>
    </w:p>
    <w:p>
      <w:pPr>
        <w:pStyle w:val="FirstParagraph"/>
      </w:pPr>
      <w:r>
        <w:t xml:space="preserve">Une parole tenue à la première personne se restitue à la troisième, au présent,</w:t>
      </w:r>
      <w:r>
        <w:t xml:space="preserve"> </w:t>
      </w:r>
      <w:r>
        <w:t xml:space="preserve">introduite par un verbe de parole. Le passé composé ne sert que pour les faits</w:t>
      </w:r>
      <w:r>
        <w:t xml:space="preserve"> </w:t>
      </w:r>
      <w:r>
        <w:t xml:space="preserve">antérieurs rapportés à l’intérieur du propos : « il rappelle que les volumes ont baissé</w:t>
      </w:r>
      <w:r>
        <w:t xml:space="preserve"> </w:t>
      </w:r>
      <w:r>
        <w:t xml:space="preserve">de 20 % en janvier ».</w:t>
      </w:r>
    </w:p>
    <w:p>
      <w:pPr>
        <w:pStyle w:val="BodyText"/>
      </w:pPr>
      <w:r>
        <w:t xml:space="preserve">Les scories de l’oral disparaissent : hésitations, faux départs, reprises, amorces</w:t>
      </w:r>
      <w:r>
        <w:t xml:space="preserve"> </w:t>
      </w:r>
      <w:r>
        <w:t xml:space="preserve">abandonnées. Le registre remonte d’un cran, le fond ne bouge pas.</w:t>
      </w:r>
    </w:p>
    <w:bookmarkEnd w:id="19"/>
    <w:bookmarkStart w:id="20" w:name="le-verbe-qui-dit-lacte-de-parole"/>
    <w:p>
      <w:pPr>
        <w:pStyle w:val="Heading2"/>
      </w:pPr>
      <w:r>
        <w:t xml:space="preserve">Le verbe qui dit l’acte de parole</w:t>
      </w:r>
    </w:p>
    <w:p>
      <w:pPr>
        <w:pStyle w:val="FirstParagraph"/>
      </w:pPr>
      <w:r>
        <w:t xml:space="preserve">Un document qui enchaîne « dit que… dit que… » n’a pas été travaillé. Le verbe</w:t>
      </w:r>
      <w:r>
        <w:t xml:space="preserve"> </w:t>
      </w:r>
      <w:r>
        <w:t xml:space="preserve">introducteur porte le mouvement du débat : il indique si l’orateur informe, objecte,</w:t>
      </w:r>
      <w:r>
        <w:t xml:space="preserve"> </w:t>
      </w:r>
      <w:r>
        <w:t xml:space="preserve">concède ou tranche. Les verbes se rangent par fonction, jamais par synonymes.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Fonction dans le débat</w:t>
            </w:r>
          </w:p>
        </w:tc>
        <w:tc>
          <w:tcPr/>
          <w:p>
            <w:pPr>
              <w:pStyle w:val="Compact"/>
            </w:pPr>
            <w:r>
              <w:t xml:space="preserve">Verbes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Ouvrir, informer</w:t>
            </w:r>
          </w:p>
        </w:tc>
        <w:tc>
          <w:tcPr/>
          <w:p>
            <w:pPr>
              <w:pStyle w:val="Compact"/>
            </w:pPr>
            <w:r>
              <w:t xml:space="preserve">indique, expose, rappelle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Compléter, enchaîner</w:t>
            </w:r>
          </w:p>
        </w:tc>
        <w:tc>
          <w:tcPr/>
          <w:p>
            <w:pPr>
              <w:pStyle w:val="Compact"/>
            </w:pPr>
            <w:r>
              <w:t xml:space="preserve">ajoute, complète, souligne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Interroger</w:t>
            </w:r>
          </w:p>
        </w:tc>
        <w:tc>
          <w:tcPr/>
          <w:p>
            <w:pPr>
              <w:pStyle w:val="Compact"/>
            </w:pPr>
            <w:r>
              <w:t xml:space="preserve">demande, interroge, souhaite savoir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Répondre</w:t>
            </w:r>
          </w:p>
        </w:tc>
        <w:tc>
          <w:tcPr/>
          <w:p>
            <w:pPr>
              <w:pStyle w:val="Compact"/>
            </w:pPr>
            <w:r>
              <w:t xml:space="preserve">répond, explique, confirme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Objecter, nuancer</w:t>
            </w:r>
          </w:p>
        </w:tc>
        <w:tc>
          <w:tcPr/>
          <w:p>
            <w:pPr>
              <w:pStyle w:val="Compact"/>
            </w:pPr>
            <w:r>
              <w:t xml:space="preserve">objecte, nuance, rectifie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Insister, réaffirmer</w:t>
            </w:r>
          </w:p>
        </w:tc>
        <w:tc>
          <w:tcPr/>
          <w:p>
            <w:pPr>
              <w:pStyle w:val="Compact"/>
            </w:pPr>
            <w:r>
              <w:t xml:space="preserve">insiste, réaffirme, maintient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Concéder, acter</w:t>
            </w:r>
          </w:p>
        </w:tc>
        <w:tc>
          <w:tcPr/>
          <w:p>
            <w:pPr>
              <w:pStyle w:val="Compact"/>
            </w:pPr>
            <w:r>
              <w:t xml:space="preserve">reconnaît, concède, prend acte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Alerter, déplorer</w:t>
            </w:r>
          </w:p>
        </w:tc>
        <w:tc>
          <w:tcPr/>
          <w:p>
            <w:pPr>
              <w:pStyle w:val="Compact"/>
            </w:pPr>
            <w:r>
              <w:t xml:space="preserve">alerte, regrette, s’inquiète 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Revendiquer, proposer</w:t>
            </w:r>
          </w:p>
        </w:tc>
        <w:tc>
          <w:tcPr/>
          <w:p>
            <w:pPr>
              <w:pStyle w:val="Compact"/>
            </w:pPr>
            <w:r>
              <w:t xml:space="preserve">revendique, réclame, propose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Clore, trancher</w:t>
            </w:r>
          </w:p>
        </w:tc>
        <w:tc>
          <w:tcPr/>
          <w:p>
            <w:pPr>
              <w:pStyle w:val="Compact"/>
            </w:pPr>
            <w:r>
              <w:t xml:space="preserve">conclut, tranche, met un terme au débat</w:t>
            </w:r>
          </w:p>
        </w:tc>
      </w:tr>
    </w:tbl>
    <w:p>
      <w:pPr>
        <w:pStyle w:val="BodyText"/>
      </w:pPr>
      <w:r>
        <w:t xml:space="preserve">Une règle prime sur la variété : le verbe ne dramatise jamais plus que la prise de</w:t>
      </w:r>
      <w:r>
        <w:t xml:space="preserve"> </w:t>
      </w:r>
      <w:r>
        <w:t xml:space="preserve">parole réelle.</w:t>
      </w:r>
      <w:r>
        <w:t xml:space="preserve"> </w:t>
      </w:r>
      <w:r>
        <w:rPr>
          <w:i/>
          <w:iCs/>
        </w:rPr>
        <w:t xml:space="preserve">Fustige</w:t>
      </w:r>
      <w:r>
        <w:t xml:space="preserve"> </w:t>
      </w:r>
      <w:r>
        <w:t xml:space="preserve">et</w:t>
      </w:r>
      <w:r>
        <w:t xml:space="preserve"> </w:t>
      </w:r>
      <w:r>
        <w:rPr>
          <w:i/>
          <w:iCs/>
        </w:rPr>
        <w:t xml:space="preserve">s’indigne</w:t>
      </w:r>
      <w:r>
        <w:t xml:space="preserve"> </w:t>
      </w:r>
      <w:r>
        <w:t xml:space="preserve">n’ont rien à faire là où quelqu’un est resté</w:t>
      </w:r>
      <w:r>
        <w:t xml:space="preserve"> </w:t>
      </w:r>
      <w:r>
        <w:t xml:space="preserve">mesuré.</w:t>
      </w:r>
    </w:p>
    <w:bookmarkEnd w:id="20"/>
    <w:bookmarkStart w:id="21" w:name="nettoyer-loral"/>
    <w:p>
      <w:pPr>
        <w:pStyle w:val="Heading2"/>
      </w:pPr>
      <w:r>
        <w:t xml:space="preserve">Nettoyer l’oral</w:t>
      </w:r>
    </w:p>
    <w:p>
      <w:pPr>
        <w:pStyle w:val="FirstParagraph"/>
      </w:pPr>
      <w:r>
        <w:t xml:space="preserve">L’erreur la plus fréquente est le résumé, et elle ne se repère pas à la lecture du</w:t>
      </w:r>
      <w:r>
        <w:t xml:space="preserve"> </w:t>
      </w:r>
      <w:r>
        <w:t xml:space="preserve">document. Une intervention de quatre minutes qui porte cinq points devient une ligne, et</w:t>
      </w:r>
      <w:r>
        <w:t xml:space="preserve"> </w:t>
      </w:r>
      <w:r>
        <w:t xml:space="preserve">la réponse de la direction n’a plus rien à quoi se rattacher.</w:t>
      </w:r>
    </w:p>
    <w:p>
      <w:pPr>
        <w:pStyle w:val="BodyText"/>
      </w:pPr>
      <w:r>
        <w:t xml:space="preserve">On retire la matière orale et on rétablit la syntaxe quand elle a lâché. On garde tout</w:t>
      </w:r>
      <w:r>
        <w:t xml:space="preserve"> </w:t>
      </w:r>
      <w:r>
        <w:t xml:space="preserve">le reste, sans exception : les positions, les arguments même répétés d’une séance à</w:t>
      </w:r>
      <w:r>
        <w:t xml:space="preserve"> </w:t>
      </w:r>
      <w:r>
        <w:t xml:space="preserve">l’autre, les chiffres reproduits exactement, les demandes, les alertes, les engagements</w:t>
      </w:r>
      <w:r>
        <w:t xml:space="preserve"> </w:t>
      </w:r>
      <w:r>
        <w:t xml:space="preserve">pris, et le mouvement contradictoire dans son entier.</w:t>
      </w:r>
    </w:p>
    <w:p>
      <w:pPr>
        <w:pStyle w:val="BodyText"/>
      </w:pPr>
      <w:r>
        <w:t xml:space="preserve">Une fois l’oral nettoyé, un compte rendu se situe entre 60 et 80 % du volume de la</w:t>
      </w:r>
      <w:r>
        <w:t xml:space="preserve"> </w:t>
      </w:r>
      <w:r>
        <w:t xml:space="preserve">transcription. En dessous de la moitié, le document a été résumé. Ce repère reste</w:t>
      </w:r>
      <w:r>
        <w:t xml:space="preserve"> </w:t>
      </w:r>
      <w:r>
        <w:t xml:space="preserve">indicatif : le volume attendu dépend de ce que le comité demande.</w:t>
      </w:r>
    </w:p>
    <w:bookmarkEnd w:id="21"/>
    <w:bookmarkStart w:id="22" w:name="le-bloc-de-vote"/>
    <w:p>
      <w:pPr>
        <w:pStyle w:val="Heading2"/>
      </w:pPr>
      <w:r>
        <w:t xml:space="preserve">Le bloc de vote</w:t>
      </w:r>
    </w:p>
    <w:p>
      <w:pPr>
        <w:pStyle w:val="FirstParagraph"/>
      </w:pPr>
      <w:r>
        <w:t xml:space="preserve">La mise en forme du bloc ne bouge pas d’une séance à l’autre : libellés en capitales, interligne</w:t>
      </w:r>
      <w:r>
        <w:t xml:space="preserve"> </w:t>
      </w:r>
      <w:r>
        <w:t xml:space="preserve">simple, puis une phrase rédigée qui énonce le résultat. Le bloc chiffré seul laisse la</w:t>
      </w:r>
      <w:r>
        <w:t xml:space="preserve"> </w:t>
      </w:r>
      <w:r>
        <w:t xml:space="preserve">conclusion à l’interprétation du lecteur.</w:t>
      </w:r>
    </w:p>
    <w:p>
      <w:pPr>
        <w:pStyle w:val="BodyText"/>
      </w:pPr>
      <w:r>
        <w:t xml:space="preserve">La façon de compter, elle, ne va pas de soi. Les abstentions entrent-elles dans le total</w:t>
      </w:r>
      <w:r>
        <w:t xml:space="preserve"> </w:t>
      </w:r>
      <w:r>
        <w:t xml:space="preserve">des votants ? Une non-participation se consigne-t-elle avec son motif ? Ces règles se</w:t>
      </w:r>
      <w:r>
        <w:t xml:space="preserve"> </w:t>
      </w:r>
      <w:r>
        <w:t xml:space="preserve">fixent une fois avec le comité, et le bloc s’applique ensuite sans rediscussion.</w:t>
      </w:r>
    </w:p>
    <w:bookmarkEnd w:id="22"/>
    <w:bookmarkStart w:id="23" w:name="les-pièces-lues-en-séance"/>
    <w:p>
      <w:pPr>
        <w:pStyle w:val="Heading2"/>
      </w:pPr>
      <w:r>
        <w:t xml:space="preserve">Les pièces lues en séance</w:t>
      </w:r>
    </w:p>
    <w:p>
      <w:pPr>
        <w:pStyle w:val="FirstParagraph"/>
      </w:pPr>
      <w:r>
        <w:t xml:space="preserve">Une déclaration préalable, une motion, un texte lu au comité ne se reformulent jamais.</w:t>
      </w:r>
      <w:r>
        <w:t xml:space="preserve"> </w:t>
      </w:r>
      <w:r>
        <w:t xml:space="preserve">Ils se reproduisent tels quels, entre guillemets, introduits par une phrase au style</w:t>
      </w:r>
      <w:r>
        <w:t xml:space="preserve"> </w:t>
      </w:r>
      <w:r>
        <w:t xml:space="preserve">indirect. C’est une pièce, pas une prise de parole.</w:t>
      </w:r>
    </w:p>
    <w:bookmarkEnd w:id="23"/>
    <w:bookmarkStart w:id="24" w:name="les-mots-incertains"/>
    <w:p>
      <w:pPr>
        <w:pStyle w:val="Heading2"/>
      </w:pPr>
      <w:r>
        <w:t xml:space="preserve">Les mots incertains</w:t>
      </w:r>
    </w:p>
    <w:p>
      <w:pPr>
        <w:pStyle w:val="FirstParagraph"/>
      </w:pPr>
      <w:r>
        <w:t xml:space="preserve">Un nom propre mal entendu ou un terme technique douteux se signale sur place, avec le</w:t>
      </w:r>
      <w:r>
        <w:t xml:space="preserve"> </w:t>
      </w:r>
      <w:r>
        <w:t xml:space="preserve">repère de l’enregistrement :</w:t>
      </w:r>
      <w:r>
        <w:t xml:space="preserve"> </w:t>
      </w:r>
      <w:r>
        <w:rPr>
          <w:rStyle w:val="VerbatimChar"/>
        </w:rPr>
        <w:t xml:space="preserve">Verlinde*(01.14.22)</w:t>
      </w:r>
      <w:r>
        <w:t xml:space="preserve">. Le secrétaire écoute le passage et</w:t>
      </w:r>
      <w:r>
        <w:t xml:space="preserve"> </w:t>
      </w:r>
      <w:r>
        <w:t xml:space="preserve">tranche. Une incertitude ne se comble pas par une hypothèse plausible.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Xfe720c8b87c175c8f387a5a57dc0cf57c9bea03"/>
    <w:p>
      <w:pPr>
        <w:pStyle w:val="Heading1"/>
      </w:pPr>
      <w:r>
        <w:t xml:space="preserve">Les trois décisions qu’aucun modèle ne prendra</w:t>
      </w:r>
    </w:p>
    <w:p>
      <w:pPr>
        <w:pStyle w:val="FirstParagraph"/>
      </w:pPr>
      <w:r>
        <w:t xml:space="preserve">Trois points restent à arrêter avec le comité, et ils ne relèvent pas de la mise en</w:t>
      </w:r>
      <w:r>
        <w:t xml:space="preserve"> </w:t>
      </w:r>
      <w:r>
        <w:t xml:space="preserve">forme : le degré de restitution retenu, entre l’intégrale, le compte rendu et la</w:t>
      </w:r>
      <w:r>
        <w:t xml:space="preserve"> </w:t>
      </w:r>
      <w:r>
        <w:t xml:space="preserve">synthèse ; le sort des propos tenus hors tour de parole ; la marche à suivre lorsqu’un</w:t>
      </w:r>
      <w:r>
        <w:t xml:space="preserve"> </w:t>
      </w:r>
      <w:r>
        <w:t xml:space="preserve">membre demande l’ajout d’un passage après diffusion du projet.</w:t>
      </w:r>
    </w:p>
    <w:p>
      <w:pPr>
        <w:pStyle w:val="BodyText"/>
      </w:pPr>
      <w:r>
        <w:t xml:space="preserve">Ces décisions se prennent en amont, ou elles se découvrent quand le document est déjà</w:t>
      </w:r>
      <w:r>
        <w:t xml:space="preserve"> </w:t>
      </w:r>
      <w:r>
        <w:t xml:space="preserve">contesté.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EASY FLOW, rédaction de procès-verbaux et de comptes rendus pour les instances</w:t>
      </w:r>
      <w:r>
        <w:rPr>
          <w:i/>
          <w:iCs/>
        </w:rPr>
        <w:t xml:space="preserve"> </w:t>
      </w:r>
      <w:r>
        <w:rPr>
          <w:i/>
          <w:iCs/>
        </w:rPr>
        <w:t xml:space="preserve">représentatives du personnel. 100 % humain, zéro IA. easyflow-redaction.fr</w:t>
      </w:r>
    </w:p>
    <w:bookmarkEnd w:id="26"/>
    <w:sectPr>
      <w:headerReference w:type="default" r:id="rId9"/>
      <w:footerReference w:type="default" r:id="rId10"/>
      <w:footnotePr>
        <w:numRestart w:val="eachSect"/>
      </w:footnotePr>
      <w:pgSz w:w="11906" w:h="16838"/>
      <w:pgMar w:left="1134" w:right="1134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/>
        <w:b w:val="0"/>
        <w:color w:val="5C5C5C"/>
        <w:sz w:val="16"/>
      </w:rPr>
      <w:t xml:space="preserve">EASY FLOW (SASU) · 45 rue Carnot, 60000 Beauvais · 06 60 35 15 33 · </w:t>
    </w:r>
    <w:hyperlink r:id="rId1">
      <w:r>
        <w:rPr>
          <w:rFonts w:ascii="Inter" w:hAnsi="Inter"/>
          <w:b w:val="0"/>
          <w:color w:val="5C5C5C"/>
          <w:sz w:val="16"/>
          <w:u w:val="single"/>
        </w:rPr>
        <w:t>contact@easyflow-redaction.fr</w:t>
      </w:r>
    </w:hyperlink>
    <w:r>
      <w:rPr>
        <w:rFonts w:ascii="Inter" w:hAnsi="Inter"/>
        <w:b w:val="0"/>
        <w:color w:val="5C5C5C"/>
        <w:sz w:val="16"/>
      </w:rPr>
      <w:t xml:space="preserve"> · </w:t>
    </w:r>
    <w:hyperlink r:id="rId2">
      <w:r>
        <w:rPr>
          <w:rFonts w:ascii="Inter" w:hAnsi="Inter"/>
          <w:b w:val="0"/>
          <w:color w:val="5C5C5C"/>
          <w:sz w:val="16"/>
          <w:u w:val="single"/>
        </w:rPr>
        <w:t>easyflow-redaction.fr</w:t>
      </w:r>
    </w:hyperlink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space="4" w:color="2563EB"/>
      </w:pBdr>
    </w:pPr>
    <w:r>
      <w:drawing>
        <wp:inline xmlns:a="http://schemas.openxmlformats.org/drawingml/2006/main" xmlns:pic="http://schemas.openxmlformats.org/drawingml/2006/picture">
          <wp:extent cx="1368000" cy="43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easyflow-1200x38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433200"/>
                  </a:xfrm>
                  <a:prstGeom prst="rect"/>
                </pic:spPr>
              </pic:pic>
            </a:graphicData>
          </a:graphic>
        </wp:inline>
      </w:drawing>
    </w:r>
    <w:r>
      <w:tab/>
    </w:r>
    <w:hyperlink r:id="rId2">
      <w:r>
        <w:rPr>
          <w:rFonts w:ascii="Inter" w:hAnsi="Inter"/>
          <w:b w:val="0"/>
          <w:color w:val="2563EB"/>
          <w:sz w:val="17"/>
          <w:u w:val="single"/>
        </w:rPr>
        <w:t>easyflow-redaction.fr</w:t>
      </w:r>
    </w:hyperlink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fr-FR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contact@easyflow-redaction.fr" TargetMode="External"/><Relationship Id="rId2" Type="http://schemas.openxmlformats.org/officeDocument/2006/relationships/hyperlink" Target="https://easyflow-redaction.fr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easyflow-redaction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2026-09-16T08:46:34Z</dcterms:created>
  <dcterms:modified xsi:type="dcterms:W3CDTF">2026-09-16T08:46:34Z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